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706CC" w14:textId="77777777" w:rsidR="00B13B87" w:rsidRPr="007A459A" w:rsidRDefault="00B13B87" w:rsidP="00B13B87">
      <w:pPr>
        <w:widowControl/>
        <w:jc w:val="center"/>
        <w:rPr>
          <w:b/>
        </w:rPr>
      </w:pPr>
      <w:bookmarkStart w:id="0" w:name="_GoBack"/>
      <w:bookmarkEnd w:id="0"/>
      <w:r w:rsidRPr="007A459A">
        <w:rPr>
          <w:b/>
        </w:rPr>
        <w:t>Summary of Material Modifications ("SMM")</w:t>
      </w:r>
    </w:p>
    <w:p w14:paraId="28ACA497" w14:textId="77777777" w:rsidR="00B13B87" w:rsidRPr="007A459A" w:rsidRDefault="00B13B87" w:rsidP="00B13B87">
      <w:pPr>
        <w:widowControl/>
        <w:jc w:val="center"/>
        <w:rPr>
          <w:b/>
        </w:rPr>
      </w:pPr>
      <w:proofErr w:type="gramStart"/>
      <w:r w:rsidRPr="007A459A">
        <w:rPr>
          <w:b/>
        </w:rPr>
        <w:t>for</w:t>
      </w:r>
      <w:proofErr w:type="gramEnd"/>
      <w:r w:rsidRPr="007A459A">
        <w:rPr>
          <w:b/>
        </w:rPr>
        <w:t xml:space="preserve"> the </w:t>
      </w:r>
      <w:r w:rsidRPr="007A459A">
        <w:rPr>
          <w:highlight w:val="yellow"/>
        </w:rPr>
        <w:t>_______________</w:t>
      </w:r>
      <w:r w:rsidRPr="007A459A">
        <w:rPr>
          <w:b/>
        </w:rPr>
        <w:t xml:space="preserve"> (“Plan”) </w:t>
      </w:r>
    </w:p>
    <w:p w14:paraId="0232FE97" w14:textId="77777777" w:rsidR="00B13B87" w:rsidRPr="007A459A" w:rsidRDefault="00B13B87" w:rsidP="00B13B87">
      <w:pPr>
        <w:widowControl/>
        <w:jc w:val="center"/>
      </w:pPr>
    </w:p>
    <w:p w14:paraId="795D9023" w14:textId="77777777" w:rsidR="00B13B87" w:rsidRPr="007A459A" w:rsidRDefault="00B13B87" w:rsidP="00B13B87">
      <w:pPr>
        <w:widowControl/>
      </w:pPr>
    </w:p>
    <w:p w14:paraId="156F9225" w14:textId="77777777" w:rsidR="00B13B87" w:rsidRPr="007A459A" w:rsidRDefault="00B13B87" w:rsidP="00B13B87">
      <w:pPr>
        <w:widowControl/>
      </w:pPr>
    </w:p>
    <w:p w14:paraId="7446508F" w14:textId="77777777" w:rsidR="00B13B87" w:rsidRPr="007A459A" w:rsidRDefault="00B13B87" w:rsidP="00B13B87">
      <w:pPr>
        <w:pStyle w:val="Heading1"/>
        <w:tabs>
          <w:tab w:val="clear" w:pos="4320"/>
        </w:tabs>
        <w:ind w:left="4320" w:hanging="4320"/>
        <w:rPr>
          <w:sz w:val="20"/>
          <w:szCs w:val="20"/>
        </w:rPr>
      </w:pPr>
      <w:r w:rsidRPr="007A459A">
        <w:rPr>
          <w:sz w:val="20"/>
          <w:szCs w:val="20"/>
        </w:rPr>
        <w:t xml:space="preserve">Employer: </w:t>
      </w:r>
      <w:r w:rsidRPr="007A459A">
        <w:rPr>
          <w:sz w:val="20"/>
          <w:szCs w:val="20"/>
        </w:rPr>
        <w:tab/>
      </w:r>
      <w:r w:rsidRPr="007A459A">
        <w:rPr>
          <w:sz w:val="20"/>
          <w:szCs w:val="20"/>
          <w:highlight w:val="yellow"/>
        </w:rPr>
        <w:t>_______________</w:t>
      </w:r>
      <w:r w:rsidRPr="007A459A">
        <w:rPr>
          <w:sz w:val="20"/>
          <w:szCs w:val="20"/>
        </w:rPr>
        <w:tab/>
      </w:r>
    </w:p>
    <w:p w14:paraId="729D34DF" w14:textId="77777777" w:rsidR="00B13B87" w:rsidRPr="007A459A" w:rsidRDefault="00B13B87" w:rsidP="00B13B87">
      <w:pPr>
        <w:widowControl/>
        <w:jc w:val="both"/>
      </w:pPr>
    </w:p>
    <w:p w14:paraId="70097689" w14:textId="77777777" w:rsidR="00B13B87" w:rsidRPr="007A459A" w:rsidRDefault="00B13B87" w:rsidP="00B13B87">
      <w:pPr>
        <w:pStyle w:val="BodyText2"/>
        <w:tabs>
          <w:tab w:val="clear" w:pos="4320"/>
        </w:tabs>
        <w:ind w:left="4320" w:hanging="4320"/>
        <w:rPr>
          <w:sz w:val="20"/>
          <w:szCs w:val="20"/>
        </w:rPr>
      </w:pPr>
      <w:r w:rsidRPr="007A459A">
        <w:rPr>
          <w:sz w:val="20"/>
          <w:szCs w:val="20"/>
        </w:rPr>
        <w:t>Notice To:</w:t>
      </w:r>
      <w:r w:rsidRPr="007A459A">
        <w:rPr>
          <w:sz w:val="20"/>
          <w:szCs w:val="20"/>
        </w:rPr>
        <w:tab/>
        <w:t>All Participants and Beneficiaries in the above referenced Plan</w:t>
      </w:r>
    </w:p>
    <w:p w14:paraId="36154D19" w14:textId="77777777" w:rsidR="00B13B87" w:rsidRPr="007A459A" w:rsidRDefault="00B13B87" w:rsidP="00B13B87">
      <w:pPr>
        <w:widowControl/>
        <w:jc w:val="both"/>
      </w:pPr>
    </w:p>
    <w:p w14:paraId="6A3B7E23" w14:textId="77777777" w:rsidR="00B13B87" w:rsidRPr="007A459A" w:rsidRDefault="00B13B87" w:rsidP="00B13B87">
      <w:pPr>
        <w:widowControl/>
        <w:jc w:val="both"/>
      </w:pPr>
    </w:p>
    <w:p w14:paraId="0762FE8D" w14:textId="77777777" w:rsidR="00B13B87" w:rsidRDefault="0026335B" w:rsidP="00B13B87">
      <w:pPr>
        <w:widowControl/>
        <w:jc w:val="both"/>
      </w:pPr>
      <w:r w:rsidRPr="0026335B">
        <w:t xml:space="preserve">This SMM is a summary of recent changes to the Plan, and it supplements and amends the Summary Plan Description (“SPD”) previously provided to you.  You should retain this document with your copy of the SPD. </w:t>
      </w:r>
      <w:r w:rsidR="00A4016C">
        <w:t xml:space="preserve"> </w:t>
      </w:r>
      <w:r w:rsidRPr="0026335B">
        <w:t>If this SMM conflicts with the Plan’s terms, as amended, the provisions of the Plan will control.</w:t>
      </w:r>
    </w:p>
    <w:p w14:paraId="7BCC2808" w14:textId="77777777" w:rsidR="00A4016C" w:rsidRPr="007A459A" w:rsidRDefault="00A4016C" w:rsidP="00B13B87">
      <w:pPr>
        <w:widowControl/>
        <w:jc w:val="both"/>
      </w:pPr>
    </w:p>
    <w:p w14:paraId="6228BFAD" w14:textId="77777777" w:rsidR="00A95054" w:rsidRDefault="00A95054" w:rsidP="00A95054">
      <w:r>
        <w:t xml:space="preserve">The following changes have been made to the Plan based on the Bipartisan Budget Act of 2018 and are generally effective on </w:t>
      </w:r>
      <w:r>
        <w:rPr>
          <w:highlight w:val="yellow"/>
        </w:rPr>
        <w:t>_____________________</w:t>
      </w:r>
      <w:r>
        <w:t>.</w:t>
      </w:r>
    </w:p>
    <w:p w14:paraId="504E4AF4" w14:textId="77777777" w:rsidR="00B13B87" w:rsidRPr="007A459A" w:rsidRDefault="00B13B87" w:rsidP="00B13B87">
      <w:pPr>
        <w:pStyle w:val="Cust-SPD-Heading2"/>
        <w:tabs>
          <w:tab w:val="clear" w:pos="360"/>
        </w:tabs>
        <w:rPr>
          <w:rFonts w:ascii="Times New Roman" w:eastAsia="Arial" w:hAnsi="Times New Roman" w:cs="Arial"/>
          <w:color w:val="000000"/>
        </w:rPr>
      </w:pPr>
    </w:p>
    <w:p w14:paraId="669E5D30" w14:textId="77777777" w:rsidR="00B13B87" w:rsidRPr="006A28E0" w:rsidRDefault="00B13B87" w:rsidP="00B13B87">
      <w:pPr>
        <w:pStyle w:val="Cust-SPD-Heading2"/>
        <w:tabs>
          <w:tab w:val="clear" w:pos="360"/>
        </w:tabs>
        <w:rPr>
          <w:rFonts w:ascii="Times New Roman" w:eastAsia="Arial" w:hAnsi="Times New Roman" w:cs="Arial"/>
        </w:rPr>
      </w:pPr>
      <w:r w:rsidRPr="006A28E0">
        <w:rPr>
          <w:rFonts w:ascii="Times New Roman" w:eastAsia="Arial" w:hAnsi="Times New Roman" w:cs="Arial"/>
        </w:rPr>
        <w:t>Hardship Withdrawals</w:t>
      </w:r>
    </w:p>
    <w:p w14:paraId="6469DF84" w14:textId="77777777" w:rsidR="00B13B87" w:rsidRPr="006A28E0" w:rsidRDefault="00B13B87" w:rsidP="00B13B87">
      <w:pPr>
        <w:pStyle w:val="Normal0"/>
        <w:autoSpaceDE w:val="0"/>
        <w:autoSpaceDN w:val="0"/>
        <w:adjustRightInd w:val="0"/>
        <w:spacing w:after="120" w:line="0" w:lineRule="atLeast"/>
        <w:ind w:left="5" w:right="5"/>
        <w:jc w:val="both"/>
        <w:rPr>
          <w:rFonts w:ascii="Times New Roman" w:hAnsi="Times New Roman" w:cs="Arial"/>
          <w:sz w:val="20"/>
          <w:szCs w:val="20"/>
        </w:rPr>
      </w:pPr>
      <w:r w:rsidRPr="006A28E0">
        <w:rPr>
          <w:rFonts w:ascii="Times New Roman" w:hAnsi="Times New Roman" w:cs="Arial"/>
          <w:sz w:val="20"/>
          <w:szCs w:val="20"/>
        </w:rPr>
        <w:t xml:space="preserve">The hardship withdrawal requirements for your plan have changed.  </w:t>
      </w:r>
    </w:p>
    <w:p w14:paraId="4CB0A611" w14:textId="77777777" w:rsidR="00B13B87" w:rsidRPr="006A28E0" w:rsidRDefault="00B13B87" w:rsidP="0026335B">
      <w:pPr>
        <w:pStyle w:val="Normal0"/>
        <w:numPr>
          <w:ilvl w:val="0"/>
          <w:numId w:val="4"/>
        </w:numPr>
        <w:autoSpaceDE w:val="0"/>
        <w:autoSpaceDN w:val="0"/>
        <w:adjustRightInd w:val="0"/>
        <w:spacing w:after="120" w:line="0" w:lineRule="atLeast"/>
        <w:ind w:right="5"/>
        <w:jc w:val="both"/>
        <w:rPr>
          <w:rFonts w:ascii="Times New Roman" w:hAnsi="Times New Roman" w:cs="Arial"/>
          <w:sz w:val="20"/>
          <w:szCs w:val="20"/>
        </w:rPr>
      </w:pPr>
      <w:r w:rsidRPr="006A28E0">
        <w:rPr>
          <w:rFonts w:ascii="Times New Roman" w:hAnsi="Times New Roman" w:cs="Arial"/>
          <w:sz w:val="20"/>
          <w:szCs w:val="20"/>
        </w:rPr>
        <w:t xml:space="preserve">If you take a hardship from your plan, you will not be suspended from making future contributions.  </w:t>
      </w:r>
    </w:p>
    <w:p w14:paraId="2FDFAF39" w14:textId="77509447" w:rsidR="00B13B87" w:rsidRPr="006A28E0" w:rsidRDefault="00B13B87" w:rsidP="0026335B">
      <w:pPr>
        <w:pStyle w:val="Normal0"/>
        <w:numPr>
          <w:ilvl w:val="0"/>
          <w:numId w:val="4"/>
        </w:numPr>
        <w:autoSpaceDE w:val="0"/>
        <w:autoSpaceDN w:val="0"/>
        <w:adjustRightInd w:val="0"/>
        <w:spacing w:after="120" w:line="0" w:lineRule="atLeast"/>
        <w:ind w:right="5"/>
        <w:jc w:val="both"/>
        <w:rPr>
          <w:rFonts w:ascii="Times New Roman" w:hAnsi="Times New Roman" w:cs="Arial"/>
          <w:sz w:val="20"/>
          <w:szCs w:val="20"/>
        </w:rPr>
      </w:pPr>
      <w:r w:rsidRPr="006A28E0">
        <w:rPr>
          <w:rFonts w:ascii="Times New Roman" w:hAnsi="Times New Roman" w:cs="Arial"/>
          <w:sz w:val="20"/>
          <w:szCs w:val="20"/>
        </w:rPr>
        <w:t xml:space="preserve">In accordance with Internal Revenue Service regulations, you must first exhaust all other assets reasonably available to you prior to obtaining a hardship withdrawal.  This includes obtaining any in-service withdrawal(s) available from your Account and from any other plan maintained by your Employer, however you will no longer </w:t>
      </w:r>
      <w:r w:rsidR="00BB3834">
        <w:rPr>
          <w:rFonts w:ascii="Times New Roman" w:hAnsi="Times New Roman" w:cs="Arial"/>
          <w:sz w:val="20"/>
          <w:szCs w:val="20"/>
        </w:rPr>
        <w:t xml:space="preserve">be </w:t>
      </w:r>
      <w:r w:rsidRPr="006A28E0">
        <w:rPr>
          <w:rFonts w:ascii="Times New Roman" w:hAnsi="Times New Roman" w:cs="Arial"/>
          <w:sz w:val="20"/>
          <w:szCs w:val="20"/>
        </w:rPr>
        <w:t>required to take a loan</w:t>
      </w:r>
      <w:r w:rsidR="00074BC7" w:rsidRPr="006A28E0">
        <w:rPr>
          <w:rFonts w:ascii="Times New Roman" w:hAnsi="Times New Roman" w:cs="Arial"/>
          <w:sz w:val="20"/>
          <w:szCs w:val="20"/>
        </w:rPr>
        <w:t xml:space="preserve"> before applying for a hardship</w:t>
      </w:r>
      <w:r w:rsidRPr="006A28E0">
        <w:rPr>
          <w:rFonts w:ascii="Times New Roman" w:hAnsi="Times New Roman" w:cs="Arial"/>
          <w:sz w:val="20"/>
          <w:szCs w:val="20"/>
        </w:rPr>
        <w:t xml:space="preserve">.  </w:t>
      </w:r>
    </w:p>
    <w:p w14:paraId="3351D767" w14:textId="77777777" w:rsidR="00B13B87" w:rsidRPr="007A459A" w:rsidRDefault="00B13B87" w:rsidP="0026335B">
      <w:pPr>
        <w:pStyle w:val="Normal0"/>
        <w:numPr>
          <w:ilvl w:val="0"/>
          <w:numId w:val="4"/>
        </w:numPr>
        <w:autoSpaceDE w:val="0"/>
        <w:autoSpaceDN w:val="0"/>
        <w:adjustRightInd w:val="0"/>
        <w:spacing w:after="120" w:line="0" w:lineRule="atLeast"/>
        <w:ind w:right="5"/>
        <w:jc w:val="both"/>
        <w:rPr>
          <w:rFonts w:ascii="Times New Roman" w:hAnsi="Times New Roman" w:cs="Arial"/>
          <w:color w:val="000000"/>
          <w:sz w:val="20"/>
          <w:szCs w:val="20"/>
        </w:rPr>
      </w:pPr>
      <w:r w:rsidRPr="007A459A">
        <w:rPr>
          <w:rFonts w:ascii="Times New Roman" w:hAnsi="Times New Roman" w:cs="Arial"/>
          <w:color w:val="000000"/>
          <w:sz w:val="20"/>
          <w:szCs w:val="20"/>
        </w:rPr>
        <w:t>The hardship withdrawal reasons have changed, and the below language replaces</w:t>
      </w:r>
      <w:r w:rsidR="007A459A" w:rsidRPr="007A459A">
        <w:rPr>
          <w:rFonts w:ascii="Times New Roman" w:hAnsi="Times New Roman" w:cs="Arial"/>
          <w:color w:val="000000"/>
          <w:sz w:val="20"/>
          <w:szCs w:val="20"/>
        </w:rPr>
        <w:t xml:space="preserve"> reason (6) and adds reason (7)</w:t>
      </w:r>
      <w:r w:rsidRPr="007A459A">
        <w:rPr>
          <w:rFonts w:ascii="Times New Roman" w:hAnsi="Times New Roman" w:cs="Arial"/>
          <w:color w:val="000000"/>
          <w:sz w:val="20"/>
          <w:szCs w:val="20"/>
        </w:rPr>
        <w:t>:</w:t>
      </w:r>
    </w:p>
    <w:p w14:paraId="65C15F03" w14:textId="77777777" w:rsidR="00B13B87" w:rsidRPr="007A459A" w:rsidRDefault="00B13B87" w:rsidP="0026335B">
      <w:pPr>
        <w:pStyle w:val="Normal0"/>
        <w:autoSpaceDE w:val="0"/>
        <w:autoSpaceDN w:val="0"/>
        <w:adjustRightInd w:val="0"/>
        <w:spacing w:after="120" w:line="0" w:lineRule="atLeast"/>
        <w:ind w:left="1080" w:right="5"/>
        <w:jc w:val="both"/>
        <w:rPr>
          <w:rFonts w:ascii="Times New Roman" w:hAnsi="Times New Roman" w:cs="Arial"/>
          <w:color w:val="000000"/>
          <w:sz w:val="20"/>
          <w:szCs w:val="20"/>
        </w:rPr>
      </w:pPr>
      <w:r w:rsidRPr="007A459A">
        <w:rPr>
          <w:rFonts w:ascii="Times New Roman" w:hAnsi="Times New Roman" w:cs="Arial"/>
          <w:color w:val="000000"/>
          <w:sz w:val="20"/>
          <w:szCs w:val="20"/>
        </w:rPr>
        <w:t xml:space="preserve"> (6) to pay expenses for the repair of damage to your principal residence that would qualify for the casualty deduction under Section 165 of the Internal Revenue Code (without regard to whether your residence is located in a Federal Emergency Management Agency (FEMA) declared disaster area as described in section 165(h)(5) or whether the loss exceeds 10% of adjusted gross income); (7) expenses and losses (including loss of income) you incurred on account of a disaster declared by FEMA, provided that your principal residence or principal place of employment at the time of the disaster was located in an area designated by FEMA for individual assistance with respect to the disaster; or any other immediate and heavy financial need as determined based on Internal Revenue Service regulations.</w:t>
      </w:r>
    </w:p>
    <w:p w14:paraId="4666D2B3" w14:textId="2D883C61" w:rsidR="007D40B6" w:rsidRDefault="007D40B6"/>
    <w:p w14:paraId="5E810EA2" w14:textId="67D72CEB" w:rsidR="00D42152" w:rsidRPr="007A459A" w:rsidRDefault="00D42152">
      <w:r w:rsidRPr="00D42152">
        <w:t>933011.2</w:t>
      </w:r>
    </w:p>
    <w:sectPr w:rsidR="00D42152" w:rsidRPr="007A4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F2B3A"/>
    <w:multiLevelType w:val="hybridMultilevel"/>
    <w:tmpl w:val="F626CCF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 w15:restartNumberingAfterBreak="0">
    <w:nsid w:val="2B0D5B6D"/>
    <w:multiLevelType w:val="multilevel"/>
    <w:tmpl w:val="674057BE"/>
    <w:lvl w:ilvl="0">
      <w:start w:val="1"/>
      <w:numFmt w:val="upperRoman"/>
      <w:lvlText w:val="%1."/>
      <w:lvlJc w:val="left"/>
      <w:pPr>
        <w:tabs>
          <w:tab w:val="num" w:pos="360"/>
        </w:tabs>
        <w:ind w:left="0" w:firstLine="0"/>
      </w:pPr>
      <w:rPr>
        <w:rFonts w:cs="Times New Roman" w:hint="default"/>
      </w:rPr>
    </w:lvl>
    <w:lvl w:ilvl="1">
      <w:start w:val="1"/>
      <w:numFmt w:val="upperLetter"/>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vanish w:val="0"/>
        <w:color w:val="000000"/>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hanging="360"/>
      </w:pPr>
      <w:rPr>
        <w:rFonts w:cs="Times New Roman" w:hint="default"/>
        <w:b/>
        <w:i w:val="0"/>
        <w:iCs w:val="0"/>
      </w:rPr>
    </w:lvl>
    <w:lvl w:ilvl="3">
      <w:start w:val="1"/>
      <w:numFmt w:val="lowerLetter"/>
      <w:lvlText w:val="%4."/>
      <w:lvlJc w:val="left"/>
      <w:pPr>
        <w:tabs>
          <w:tab w:val="num" w:pos="1080"/>
        </w:tabs>
        <w:ind w:left="1080" w:hanging="360"/>
      </w:pPr>
      <w:rPr>
        <w:rFonts w:cs="Times New Roman" w:hint="default"/>
        <w:b/>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upperRoman"/>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 w15:restartNumberingAfterBreak="0">
    <w:nsid w:val="5D7C3311"/>
    <w:multiLevelType w:val="multilevel"/>
    <w:tmpl w:val="674057BE"/>
    <w:styleLink w:val="Cust-SPD-ListStyles"/>
    <w:lvl w:ilvl="0">
      <w:start w:val="1"/>
      <w:numFmt w:val="upperRoman"/>
      <w:lvlText w:val="%1."/>
      <w:lvlJc w:val="left"/>
      <w:pPr>
        <w:tabs>
          <w:tab w:val="num" w:pos="360"/>
        </w:tabs>
        <w:ind w:left="0" w:firstLine="0"/>
      </w:pPr>
      <w:rPr>
        <w:rFonts w:cs="Times New Roman" w:hint="default"/>
      </w:rPr>
    </w:lvl>
    <w:lvl w:ilvl="1">
      <w:start w:val="1"/>
      <w:numFmt w:val="upperLetter"/>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vanish w:val="0"/>
        <w:color w:val="000000"/>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hanging="360"/>
      </w:pPr>
      <w:rPr>
        <w:rFonts w:cs="Times New Roman" w:hint="default"/>
        <w:b/>
        <w:i w:val="0"/>
        <w:iCs w:val="0"/>
      </w:rPr>
    </w:lvl>
    <w:lvl w:ilvl="3">
      <w:start w:val="1"/>
      <w:numFmt w:val="lowerLetter"/>
      <w:lvlText w:val="%4."/>
      <w:lvlJc w:val="left"/>
      <w:pPr>
        <w:tabs>
          <w:tab w:val="num" w:pos="1080"/>
        </w:tabs>
        <w:ind w:left="1080" w:hanging="360"/>
      </w:pPr>
      <w:rPr>
        <w:rFonts w:cs="Times New Roman" w:hint="default"/>
        <w:b/>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upperRoman"/>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 w15:restartNumberingAfterBreak="0">
    <w:nsid w:val="5D7C3313"/>
    <w:multiLevelType w:val="multilevel"/>
    <w:tmpl w:val="0000000B"/>
    <w:lvl w:ilvl="0">
      <w:start w:val="1"/>
      <w:numFmt w:val="bullet"/>
      <w:lvlText w:val=""/>
      <w:lvlJc w:val="left"/>
      <w:pPr>
        <w:tabs>
          <w:tab w:val="num" w:pos="828"/>
        </w:tabs>
        <w:ind w:left="1278" w:hanging="360"/>
      </w:pPr>
      <w:rPr>
        <w:rFonts w:ascii="Symbol" w:hAnsi="Symbol"/>
        <w:color w:val="000000"/>
        <w:sz w:val="20"/>
      </w:rPr>
    </w:lvl>
    <w:lvl w:ilvl="1">
      <w:start w:val="1"/>
      <w:numFmt w:val="bullet"/>
      <w:lvlText w:val="o"/>
      <w:lvlJc w:val="left"/>
      <w:pPr>
        <w:tabs>
          <w:tab w:val="num" w:pos="1998"/>
        </w:tabs>
        <w:ind w:left="1998" w:hanging="360"/>
      </w:pPr>
      <w:rPr>
        <w:rFonts w:ascii="Courier New" w:hAnsi="Courier New"/>
        <w:color w:val="000000"/>
        <w:sz w:val="24"/>
      </w:rPr>
    </w:lvl>
    <w:lvl w:ilvl="2">
      <w:start w:val="1"/>
      <w:numFmt w:val="bullet"/>
      <w:lvlText w:val=""/>
      <w:lvlJc w:val="left"/>
      <w:pPr>
        <w:tabs>
          <w:tab w:val="num" w:pos="2718"/>
        </w:tabs>
        <w:ind w:left="2718" w:hanging="360"/>
      </w:pPr>
      <w:rPr>
        <w:rFonts w:ascii="Arial" w:hAnsi="Arial"/>
        <w:color w:val="000000"/>
        <w:sz w:val="24"/>
      </w:rPr>
    </w:lvl>
    <w:lvl w:ilvl="3">
      <w:start w:val="1"/>
      <w:numFmt w:val="bullet"/>
      <w:lvlText w:val=""/>
      <w:lvlJc w:val="left"/>
      <w:pPr>
        <w:tabs>
          <w:tab w:val="num" w:pos="3438"/>
        </w:tabs>
        <w:ind w:left="3438" w:hanging="360"/>
      </w:pPr>
      <w:rPr>
        <w:rFonts w:ascii="Symbol" w:hAnsi="Symbol"/>
        <w:color w:val="000000"/>
        <w:sz w:val="24"/>
      </w:rPr>
    </w:lvl>
    <w:lvl w:ilvl="4">
      <w:start w:val="1"/>
      <w:numFmt w:val="bullet"/>
      <w:lvlText w:val="o"/>
      <w:lvlJc w:val="left"/>
      <w:pPr>
        <w:tabs>
          <w:tab w:val="num" w:pos="4158"/>
        </w:tabs>
        <w:ind w:left="4158" w:hanging="360"/>
      </w:pPr>
      <w:rPr>
        <w:rFonts w:ascii="Courier New" w:hAnsi="Courier New"/>
        <w:color w:val="000000"/>
        <w:sz w:val="24"/>
      </w:rPr>
    </w:lvl>
    <w:lvl w:ilvl="5">
      <w:start w:val="1"/>
      <w:numFmt w:val="bullet"/>
      <w:lvlText w:val=""/>
      <w:lvlJc w:val="left"/>
      <w:pPr>
        <w:tabs>
          <w:tab w:val="num" w:pos="4878"/>
        </w:tabs>
        <w:ind w:left="4878" w:hanging="360"/>
      </w:pPr>
      <w:rPr>
        <w:rFonts w:ascii="Arial" w:hAnsi="Arial"/>
        <w:color w:val="000000"/>
        <w:sz w:val="24"/>
      </w:rPr>
    </w:lvl>
    <w:lvl w:ilvl="6">
      <w:start w:val="1"/>
      <w:numFmt w:val="bullet"/>
      <w:lvlText w:val=""/>
      <w:lvlJc w:val="left"/>
      <w:pPr>
        <w:tabs>
          <w:tab w:val="num" w:pos="5598"/>
        </w:tabs>
        <w:ind w:left="5598" w:hanging="360"/>
      </w:pPr>
      <w:rPr>
        <w:rFonts w:ascii="Symbol" w:hAnsi="Symbol"/>
        <w:color w:val="000000"/>
        <w:sz w:val="24"/>
      </w:rPr>
    </w:lvl>
    <w:lvl w:ilvl="7">
      <w:start w:val="1"/>
      <w:numFmt w:val="bullet"/>
      <w:lvlText w:val="o"/>
      <w:lvlJc w:val="left"/>
      <w:pPr>
        <w:tabs>
          <w:tab w:val="num" w:pos="6318"/>
        </w:tabs>
        <w:ind w:left="6318" w:hanging="360"/>
      </w:pPr>
      <w:rPr>
        <w:rFonts w:ascii="Courier New" w:hAnsi="Courier New"/>
        <w:color w:val="000000"/>
        <w:sz w:val="24"/>
      </w:rPr>
    </w:lvl>
    <w:lvl w:ilvl="8">
      <w:start w:val="1"/>
      <w:numFmt w:val="bullet"/>
      <w:lvlText w:val=""/>
      <w:lvlJc w:val="left"/>
      <w:pPr>
        <w:tabs>
          <w:tab w:val="num" w:pos="7038"/>
        </w:tabs>
        <w:ind w:left="7038" w:hanging="360"/>
      </w:pPr>
      <w:rPr>
        <w:rFonts w:ascii="Arial" w:hAnsi="Arial"/>
        <w:color w:val="000000"/>
        <w:sz w:val="24"/>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87"/>
    <w:rsid w:val="00074BC7"/>
    <w:rsid w:val="001D3B99"/>
    <w:rsid w:val="0026335B"/>
    <w:rsid w:val="002976DF"/>
    <w:rsid w:val="005A4285"/>
    <w:rsid w:val="00657511"/>
    <w:rsid w:val="006A28E0"/>
    <w:rsid w:val="007A459A"/>
    <w:rsid w:val="007D40B6"/>
    <w:rsid w:val="00A31A0A"/>
    <w:rsid w:val="00A4016C"/>
    <w:rsid w:val="00A95054"/>
    <w:rsid w:val="00B13B87"/>
    <w:rsid w:val="00BB3834"/>
    <w:rsid w:val="00BD61C2"/>
    <w:rsid w:val="00D42152"/>
    <w:rsid w:val="00E96260"/>
    <w:rsid w:val="00EC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C982"/>
  <w15:docId w15:val="{D4A5344C-9E61-430F-A21B-62425CC4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B87"/>
    <w:pPr>
      <w:widowControl w:val="0"/>
      <w:spacing w:after="0"/>
      <w:jc w:val="left"/>
    </w:pPr>
    <w:rPr>
      <w:rFonts w:eastAsia="Times New Roman" w:cs="Times New Roman"/>
      <w:szCs w:val="20"/>
    </w:rPr>
  </w:style>
  <w:style w:type="paragraph" w:styleId="Heading1">
    <w:name w:val="heading 1"/>
    <w:basedOn w:val="Normal"/>
    <w:next w:val="Normal"/>
    <w:link w:val="Heading1Char"/>
    <w:qFormat/>
    <w:rsid w:val="00B13B87"/>
    <w:pPr>
      <w:keepNext/>
      <w:widowControl/>
      <w:tabs>
        <w:tab w:val="left" w:pos="4320"/>
      </w:tabs>
      <w:jc w:val="both"/>
      <w:outlineLvl w:val="0"/>
    </w:pPr>
    <w:rPr>
      <w:sz w:val="24"/>
      <w:szCs w:val="24"/>
    </w:rPr>
  </w:style>
  <w:style w:type="paragraph" w:styleId="Heading2">
    <w:name w:val="heading 2"/>
    <w:basedOn w:val="Normal"/>
    <w:next w:val="Normal"/>
    <w:link w:val="Heading2Char"/>
    <w:uiPriority w:val="9"/>
    <w:semiHidden/>
    <w:unhideWhenUsed/>
    <w:qFormat/>
    <w:rsid w:val="00B13B87"/>
    <w:pPr>
      <w:keepNext/>
      <w:keepLines/>
      <w:widowControl/>
      <w:spacing w:before="200" w:line="276"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A4285"/>
    <w:pPr>
      <w:keepNext/>
      <w:keepLines/>
      <w:widowControl/>
      <w:spacing w:before="200" w:line="276" w:lineRule="auto"/>
      <w:jc w:val="both"/>
      <w:outlineLvl w:val="2"/>
    </w:pPr>
    <w:rPr>
      <w:rFonts w:asciiTheme="majorHAnsi" w:eastAsiaTheme="majorEastAsia" w:hAnsiTheme="majorHAnsi" w:cstheme="majorBidi"/>
      <w:b/>
      <w:b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SPD-Heading3">
    <w:name w:val="Cust-SPD-Heading3"/>
    <w:basedOn w:val="Heading3"/>
    <w:link w:val="Cust-SPD-Heading3Char"/>
    <w:qFormat/>
    <w:rsid w:val="005A4285"/>
    <w:pPr>
      <w:tabs>
        <w:tab w:val="num" w:pos="720"/>
        <w:tab w:val="left" w:pos="1080"/>
      </w:tabs>
      <w:spacing w:before="0" w:after="120" w:line="240" w:lineRule="auto"/>
      <w:ind w:left="720" w:hanging="360"/>
    </w:pPr>
    <w:rPr>
      <w:rFonts w:ascii="Times New Roman Bold" w:eastAsia="Times New Roman" w:hAnsi="Times New Roman Bold" w:cs="Times New Roman"/>
      <w:color w:val="auto"/>
      <w:szCs w:val="20"/>
    </w:rPr>
  </w:style>
  <w:style w:type="character" w:customStyle="1" w:styleId="Cust-SPD-Heading3Char">
    <w:name w:val="Cust-SPD-Heading3 Char"/>
    <w:link w:val="Cust-SPD-Heading3"/>
    <w:rsid w:val="005A4285"/>
    <w:rPr>
      <w:rFonts w:ascii="Times New Roman Bold" w:eastAsia="Times New Roman" w:hAnsi="Times New Roman Bold" w:cs="Times New Roman"/>
      <w:b/>
      <w:bCs/>
      <w:szCs w:val="20"/>
    </w:rPr>
  </w:style>
  <w:style w:type="character" w:customStyle="1" w:styleId="Heading3Char">
    <w:name w:val="Heading 3 Char"/>
    <w:basedOn w:val="DefaultParagraphFont"/>
    <w:link w:val="Heading3"/>
    <w:uiPriority w:val="9"/>
    <w:semiHidden/>
    <w:rsid w:val="005A4285"/>
    <w:rPr>
      <w:rFonts w:asciiTheme="majorHAnsi" w:eastAsiaTheme="majorEastAsia" w:hAnsiTheme="majorHAnsi" w:cstheme="majorBidi"/>
      <w:b/>
      <w:bCs/>
      <w:color w:val="4F81BD" w:themeColor="accent1"/>
    </w:rPr>
  </w:style>
  <w:style w:type="numbering" w:customStyle="1" w:styleId="Cust-SPD-ListStyles">
    <w:name w:val="Cust-SPD-ListStyles"/>
    <w:rsid w:val="00B13B87"/>
    <w:pPr>
      <w:numPr>
        <w:numId w:val="2"/>
      </w:numPr>
    </w:pPr>
  </w:style>
  <w:style w:type="paragraph" w:customStyle="1" w:styleId="Cust-SPD-Heading2">
    <w:name w:val="Cust-SPD-Heading2"/>
    <w:basedOn w:val="Heading2"/>
    <w:link w:val="Cust-SPD-Heading2Char"/>
    <w:qFormat/>
    <w:rsid w:val="00B13B87"/>
    <w:pPr>
      <w:tabs>
        <w:tab w:val="num" w:pos="360"/>
      </w:tabs>
      <w:spacing w:before="0" w:after="120" w:line="240" w:lineRule="auto"/>
      <w:ind w:left="360" w:hanging="360"/>
    </w:pPr>
    <w:rPr>
      <w:rFonts w:ascii="Times New Roman Bold" w:eastAsia="Times New Roman" w:hAnsi="Times New Roman Bold" w:cs="Times New Roman"/>
      <w:color w:val="auto"/>
      <w:sz w:val="20"/>
      <w:szCs w:val="20"/>
    </w:rPr>
  </w:style>
  <w:style w:type="character" w:customStyle="1" w:styleId="Cust-SPD-Heading2Char">
    <w:name w:val="Cust-SPD-Heading2 Char"/>
    <w:link w:val="Cust-SPD-Heading2"/>
    <w:rsid w:val="00B13B87"/>
    <w:rPr>
      <w:rFonts w:ascii="Times New Roman Bold" w:eastAsia="Times New Roman" w:hAnsi="Times New Roman Bold" w:cs="Times New Roman"/>
      <w:b/>
      <w:bCs/>
      <w:szCs w:val="20"/>
    </w:rPr>
  </w:style>
  <w:style w:type="paragraph" w:customStyle="1" w:styleId="Normal0">
    <w:name w:val="Normal_0"/>
    <w:qFormat/>
    <w:rsid w:val="00B13B87"/>
    <w:pPr>
      <w:spacing w:after="0"/>
      <w:jc w:val="left"/>
    </w:pPr>
    <w:rPr>
      <w:rFonts w:ascii="Arial" w:eastAsia="Arial" w:hAnsi="Arial" w:cs="Times New Roman"/>
      <w:sz w:val="24"/>
      <w:szCs w:val="24"/>
    </w:rPr>
  </w:style>
  <w:style w:type="character" w:customStyle="1" w:styleId="Heading2Char">
    <w:name w:val="Heading 2 Char"/>
    <w:basedOn w:val="DefaultParagraphFont"/>
    <w:link w:val="Heading2"/>
    <w:uiPriority w:val="9"/>
    <w:semiHidden/>
    <w:rsid w:val="00B13B8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B13B87"/>
    <w:rPr>
      <w:rFonts w:eastAsia="Times New Roman" w:cs="Times New Roman"/>
      <w:sz w:val="24"/>
      <w:szCs w:val="24"/>
    </w:rPr>
  </w:style>
  <w:style w:type="paragraph" w:styleId="BodyText2">
    <w:name w:val="Body Text 2"/>
    <w:basedOn w:val="Normal"/>
    <w:link w:val="BodyText2Char"/>
    <w:rsid w:val="00B13B87"/>
    <w:pPr>
      <w:widowControl/>
      <w:tabs>
        <w:tab w:val="left" w:pos="4320"/>
      </w:tabs>
      <w:jc w:val="both"/>
    </w:pPr>
    <w:rPr>
      <w:sz w:val="24"/>
      <w:szCs w:val="24"/>
    </w:rPr>
  </w:style>
  <w:style w:type="character" w:customStyle="1" w:styleId="BodyText2Char">
    <w:name w:val="Body Text 2 Char"/>
    <w:basedOn w:val="DefaultParagraphFont"/>
    <w:link w:val="BodyText2"/>
    <w:rsid w:val="00B13B87"/>
    <w:rPr>
      <w:rFonts w:eastAsia="Times New Roman" w:cs="Times New Roman"/>
      <w:sz w:val="24"/>
      <w:szCs w:val="24"/>
    </w:rPr>
  </w:style>
  <w:style w:type="paragraph" w:styleId="BalloonText">
    <w:name w:val="Balloon Text"/>
    <w:basedOn w:val="Normal"/>
    <w:link w:val="BalloonTextChar"/>
    <w:uiPriority w:val="99"/>
    <w:semiHidden/>
    <w:unhideWhenUsed/>
    <w:rsid w:val="00074BC7"/>
    <w:rPr>
      <w:rFonts w:ascii="Tahoma" w:hAnsi="Tahoma" w:cs="Tahoma"/>
      <w:sz w:val="16"/>
      <w:szCs w:val="16"/>
    </w:rPr>
  </w:style>
  <w:style w:type="character" w:customStyle="1" w:styleId="BalloonTextChar">
    <w:name w:val="Balloon Text Char"/>
    <w:basedOn w:val="DefaultParagraphFont"/>
    <w:link w:val="BalloonText"/>
    <w:uiPriority w:val="99"/>
    <w:semiHidden/>
    <w:rsid w:val="00074BC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C285F"/>
    <w:rPr>
      <w:sz w:val="16"/>
      <w:szCs w:val="16"/>
    </w:rPr>
  </w:style>
  <w:style w:type="paragraph" w:styleId="CommentText">
    <w:name w:val="annotation text"/>
    <w:basedOn w:val="Normal"/>
    <w:link w:val="CommentTextChar"/>
    <w:uiPriority w:val="99"/>
    <w:semiHidden/>
    <w:unhideWhenUsed/>
    <w:rsid w:val="00EC285F"/>
  </w:style>
  <w:style w:type="character" w:customStyle="1" w:styleId="CommentTextChar">
    <w:name w:val="Comment Text Char"/>
    <w:basedOn w:val="DefaultParagraphFont"/>
    <w:link w:val="CommentText"/>
    <w:uiPriority w:val="99"/>
    <w:semiHidden/>
    <w:rsid w:val="00EC285F"/>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EC285F"/>
    <w:rPr>
      <w:b/>
      <w:bCs/>
    </w:rPr>
  </w:style>
  <w:style w:type="character" w:customStyle="1" w:styleId="CommentSubjectChar">
    <w:name w:val="Comment Subject Char"/>
    <w:basedOn w:val="CommentTextChar"/>
    <w:link w:val="CommentSubject"/>
    <w:uiPriority w:val="99"/>
    <w:semiHidden/>
    <w:rsid w:val="00EC285F"/>
    <w:rPr>
      <w:rFonts w:eastAsia="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11499">
      <w:bodyDiv w:val="1"/>
      <w:marLeft w:val="0"/>
      <w:marRight w:val="0"/>
      <w:marTop w:val="0"/>
      <w:marBottom w:val="0"/>
      <w:divBdr>
        <w:top w:val="none" w:sz="0" w:space="0" w:color="auto"/>
        <w:left w:val="none" w:sz="0" w:space="0" w:color="auto"/>
        <w:bottom w:val="none" w:sz="0" w:space="0" w:color="auto"/>
        <w:right w:val="none" w:sz="0" w:space="0" w:color="auto"/>
      </w:divBdr>
    </w:div>
    <w:div w:id="898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Phoenix, Jennifer K</dc:creator>
  <cp:lastModifiedBy>Stacy Lawver</cp:lastModifiedBy>
  <cp:revision>2</cp:revision>
  <dcterms:created xsi:type="dcterms:W3CDTF">2020-07-23T16:14:00Z</dcterms:created>
  <dcterms:modified xsi:type="dcterms:W3CDTF">2020-07-23T16:14:00Z</dcterms:modified>
</cp:coreProperties>
</file>